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C517E" w14:textId="4F15E0A5" w:rsidR="00D8030B" w:rsidRPr="009646F8" w:rsidRDefault="00D8030B" w:rsidP="00D8030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Evaluación diagnóstica </w:t>
      </w:r>
      <w:r w:rsidR="00434CF5">
        <w:rPr>
          <w:b/>
          <w:bCs/>
          <w:sz w:val="24"/>
          <w:szCs w:val="24"/>
        </w:rPr>
        <w:t xml:space="preserve">Educación ciudadana </w:t>
      </w:r>
      <w:r>
        <w:rPr>
          <w:b/>
          <w:bCs/>
          <w:sz w:val="24"/>
          <w:szCs w:val="24"/>
        </w:rPr>
        <w:t>IV° medio A y B</w:t>
      </w:r>
    </w:p>
    <w:p w14:paraId="42FF2192" w14:textId="623091E3" w:rsidR="00D8030B" w:rsidRPr="009646F8" w:rsidRDefault="00D8030B" w:rsidP="00D8030B">
      <w:pPr>
        <w:jc w:val="both"/>
        <w:rPr>
          <w:sz w:val="24"/>
          <w:szCs w:val="24"/>
        </w:rPr>
      </w:pPr>
      <w:r w:rsidRPr="009646F8">
        <w:rPr>
          <w:b/>
          <w:bCs/>
          <w:sz w:val="24"/>
          <w:szCs w:val="24"/>
        </w:rPr>
        <w:t>Curso:</w:t>
      </w:r>
      <w:r w:rsidRPr="009646F8">
        <w:rPr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 w:rsidRPr="009646F8">
        <w:rPr>
          <w:sz w:val="24"/>
          <w:szCs w:val="24"/>
        </w:rPr>
        <w:t>° A y B</w:t>
      </w:r>
    </w:p>
    <w:p w14:paraId="50B7ACDD" w14:textId="7A780744" w:rsidR="00D8030B" w:rsidRPr="004D1F08" w:rsidRDefault="00D8030B" w:rsidP="00D8030B">
      <w:pPr>
        <w:jc w:val="both"/>
        <w:rPr>
          <w:sz w:val="28"/>
          <w:szCs w:val="28"/>
        </w:rPr>
      </w:pPr>
      <w:r w:rsidRPr="009646F8">
        <w:rPr>
          <w:b/>
          <w:bCs/>
          <w:sz w:val="24"/>
          <w:szCs w:val="24"/>
        </w:rPr>
        <w:t>Docente:</w:t>
      </w:r>
      <w:r w:rsidRPr="009646F8">
        <w:rPr>
          <w:sz w:val="24"/>
          <w:szCs w:val="24"/>
        </w:rPr>
        <w:t xml:space="preserve"> Miss</w:t>
      </w:r>
      <w:r w:rsidR="00FA4A8F">
        <w:rPr>
          <w:sz w:val="24"/>
          <w:szCs w:val="24"/>
        </w:rPr>
        <w:t xml:space="preserve"> </w:t>
      </w:r>
      <w:r w:rsidRPr="009646F8">
        <w:rPr>
          <w:sz w:val="24"/>
          <w:szCs w:val="24"/>
        </w:rPr>
        <w:t xml:space="preserve">Cynthia Ubilla.                           </w:t>
      </w:r>
      <w:r w:rsidRPr="009646F8">
        <w:rPr>
          <w:b/>
          <w:bCs/>
          <w:sz w:val="24"/>
          <w:szCs w:val="24"/>
        </w:rPr>
        <w:t xml:space="preserve"> Semana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Semana del 7 al 11 de junio de 2021</w:t>
      </w:r>
    </w:p>
    <w:p w14:paraId="316F776C" w14:textId="7C9AFC3B" w:rsidR="00D8030B" w:rsidRDefault="00D8030B" w:rsidP="00D8030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92A7A">
        <w:rPr>
          <w:rFonts w:cstheme="minorHAnsi"/>
          <w:b/>
          <w:bCs/>
          <w:sz w:val="24"/>
          <w:szCs w:val="24"/>
        </w:rPr>
        <w:t>Unidad 1</w:t>
      </w:r>
      <w:r w:rsidR="003C25B0">
        <w:rPr>
          <w:rFonts w:cstheme="minorHAnsi"/>
          <w:b/>
          <w:bCs/>
          <w:sz w:val="24"/>
          <w:szCs w:val="24"/>
        </w:rPr>
        <w:t>.</w:t>
      </w:r>
      <w:r w:rsidR="00FA4A8F">
        <w:rPr>
          <w:rFonts w:cstheme="minorHAnsi"/>
          <w:b/>
          <w:bCs/>
          <w:sz w:val="24"/>
          <w:szCs w:val="24"/>
        </w:rPr>
        <w:t xml:space="preserve"> ¿Qué logros y desafíos tiene la democracia en Chile?</w:t>
      </w:r>
    </w:p>
    <w:p w14:paraId="1C453B9C" w14:textId="77777777" w:rsidR="00D8030B" w:rsidRDefault="00D8030B" w:rsidP="00D8030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8030B" w14:paraId="7A257683" w14:textId="77777777" w:rsidTr="00074318">
        <w:tc>
          <w:tcPr>
            <w:tcW w:w="2942" w:type="dxa"/>
          </w:tcPr>
          <w:p w14:paraId="270C8D31" w14:textId="5CD47F7C" w:rsidR="00D8030B" w:rsidRPr="00475249" w:rsidRDefault="00D8030B" w:rsidP="0007431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75249">
              <w:rPr>
                <w:rFonts w:cstheme="minorHAnsi"/>
                <w:b/>
                <w:bCs/>
                <w:sz w:val="24"/>
                <w:szCs w:val="24"/>
              </w:rPr>
              <w:t>Puntaje Total:</w:t>
            </w:r>
            <w:r w:rsidR="009D1598">
              <w:rPr>
                <w:rFonts w:cstheme="minorHAnsi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2943" w:type="dxa"/>
          </w:tcPr>
          <w:p w14:paraId="27914926" w14:textId="77777777" w:rsidR="00D8030B" w:rsidRPr="00475249" w:rsidRDefault="00D8030B" w:rsidP="0007431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75249">
              <w:rPr>
                <w:rFonts w:cstheme="minorHAnsi"/>
                <w:b/>
                <w:bCs/>
                <w:sz w:val="24"/>
                <w:szCs w:val="24"/>
              </w:rPr>
              <w:t>Puntaje obtenido:</w:t>
            </w:r>
          </w:p>
        </w:tc>
        <w:tc>
          <w:tcPr>
            <w:tcW w:w="2943" w:type="dxa"/>
          </w:tcPr>
          <w:p w14:paraId="0BB00110" w14:textId="77777777" w:rsidR="00D8030B" w:rsidRPr="00475249" w:rsidRDefault="00D8030B" w:rsidP="0007431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75249">
              <w:rPr>
                <w:rFonts w:cstheme="minorHAnsi"/>
                <w:b/>
                <w:bCs/>
                <w:sz w:val="24"/>
                <w:szCs w:val="24"/>
              </w:rPr>
              <w:t>Resultado:</w:t>
            </w:r>
          </w:p>
        </w:tc>
      </w:tr>
    </w:tbl>
    <w:p w14:paraId="0A40662C" w14:textId="77777777" w:rsidR="00D8030B" w:rsidRPr="00792A7A" w:rsidRDefault="00D8030B" w:rsidP="00D8030B">
      <w:pPr>
        <w:spacing w:after="0"/>
        <w:jc w:val="both"/>
        <w:rPr>
          <w:rFonts w:cstheme="minorHAnsi"/>
          <w:sz w:val="24"/>
          <w:szCs w:val="24"/>
        </w:rPr>
      </w:pPr>
    </w:p>
    <w:p w14:paraId="639C4CB8" w14:textId="77777777" w:rsidR="00D8030B" w:rsidRDefault="00D8030B" w:rsidP="00D8030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92A7A">
        <w:rPr>
          <w:rFonts w:cstheme="minorHAnsi"/>
          <w:b/>
          <w:bCs/>
          <w:sz w:val="24"/>
          <w:szCs w:val="24"/>
        </w:rPr>
        <w:t>Indicaciones.</w:t>
      </w:r>
    </w:p>
    <w:p w14:paraId="7E382B85" w14:textId="77777777" w:rsidR="00D8030B" w:rsidRPr="00D8030B" w:rsidRDefault="00D8030B" w:rsidP="00D8030B">
      <w:pPr>
        <w:spacing w:after="0"/>
        <w:jc w:val="both"/>
        <w:rPr>
          <w:rFonts w:cstheme="minorHAnsi"/>
          <w:bCs/>
          <w:sz w:val="24"/>
          <w:szCs w:val="24"/>
        </w:rPr>
      </w:pPr>
      <w:r w:rsidRPr="00D8030B">
        <w:rPr>
          <w:rFonts w:cstheme="minorHAnsi"/>
          <w:bCs/>
          <w:sz w:val="24"/>
          <w:szCs w:val="24"/>
        </w:rPr>
        <w:t>Responde las siguientes preguntas:</w:t>
      </w:r>
    </w:p>
    <w:p w14:paraId="5E7FBF42" w14:textId="65D91F3D" w:rsidR="00D8030B" w:rsidRPr="00F42750" w:rsidRDefault="00D8030B" w:rsidP="00D8030B">
      <w:pPr>
        <w:spacing w:after="0"/>
        <w:rPr>
          <w:b/>
          <w:bCs/>
          <w:sz w:val="24"/>
          <w:szCs w:val="24"/>
        </w:rPr>
      </w:pPr>
    </w:p>
    <w:p w14:paraId="0EA8F3B5" w14:textId="2CD4E337" w:rsidR="00D8030B" w:rsidRPr="00F42750" w:rsidRDefault="00D8030B" w:rsidP="00D8030B">
      <w:pPr>
        <w:rPr>
          <w:b/>
          <w:bCs/>
          <w:sz w:val="24"/>
          <w:szCs w:val="24"/>
        </w:rPr>
      </w:pPr>
      <w:r w:rsidRPr="00F42750">
        <w:rPr>
          <w:b/>
          <w:bCs/>
          <w:sz w:val="24"/>
          <w:szCs w:val="24"/>
        </w:rPr>
        <w:t>I. Investiga</w:t>
      </w:r>
      <w:r w:rsidR="009D1598">
        <w:rPr>
          <w:b/>
          <w:bCs/>
          <w:sz w:val="24"/>
          <w:szCs w:val="24"/>
        </w:rPr>
        <w:t>. Total: 4 puntos.</w:t>
      </w:r>
    </w:p>
    <w:p w14:paraId="1201BA16" w14:textId="7E2AE922" w:rsidR="00D8030B" w:rsidRDefault="00D8030B" w:rsidP="00D8030B">
      <w:pPr>
        <w:spacing w:after="0"/>
        <w:rPr>
          <w:rFonts w:cstheme="minorHAnsi"/>
          <w:sz w:val="24"/>
          <w:szCs w:val="24"/>
        </w:rPr>
      </w:pPr>
      <w:r w:rsidRPr="00D8030B">
        <w:rPr>
          <w:sz w:val="24"/>
          <w:szCs w:val="24"/>
        </w:rPr>
        <w:t xml:space="preserve">1. </w:t>
      </w:r>
      <w:r w:rsidRPr="00D8030B">
        <w:rPr>
          <w:rFonts w:cstheme="minorHAnsi"/>
          <w:sz w:val="24"/>
          <w:szCs w:val="24"/>
        </w:rPr>
        <w:t>¿En qué consiste el Estado de Derecho?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030B" w14:paraId="256D9855" w14:textId="77777777" w:rsidTr="00D8030B">
        <w:tc>
          <w:tcPr>
            <w:tcW w:w="8828" w:type="dxa"/>
          </w:tcPr>
          <w:p w14:paraId="7F4F940B" w14:textId="77777777" w:rsidR="00D8030B" w:rsidRDefault="00D8030B" w:rsidP="00D803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Respuesta:</w:t>
            </w:r>
          </w:p>
          <w:p w14:paraId="3C17EBBA" w14:textId="77777777" w:rsidR="00D8030B" w:rsidRDefault="00D8030B" w:rsidP="00D8030B">
            <w:pPr>
              <w:rPr>
                <w:rFonts w:cstheme="minorHAnsi"/>
                <w:sz w:val="24"/>
                <w:szCs w:val="24"/>
              </w:rPr>
            </w:pPr>
          </w:p>
          <w:p w14:paraId="31D7D7FB" w14:textId="77777777" w:rsidR="00D8030B" w:rsidRDefault="00D8030B" w:rsidP="00D8030B">
            <w:pPr>
              <w:rPr>
                <w:rFonts w:cstheme="minorHAnsi"/>
                <w:sz w:val="24"/>
                <w:szCs w:val="24"/>
              </w:rPr>
            </w:pPr>
          </w:p>
          <w:p w14:paraId="5C5A2337" w14:textId="77777777" w:rsidR="00D8030B" w:rsidRDefault="00D8030B" w:rsidP="00D8030B">
            <w:pPr>
              <w:rPr>
                <w:rFonts w:cstheme="minorHAnsi"/>
                <w:sz w:val="24"/>
                <w:szCs w:val="24"/>
              </w:rPr>
            </w:pPr>
          </w:p>
          <w:p w14:paraId="42E6F167" w14:textId="77777777" w:rsidR="00D8030B" w:rsidRDefault="00D8030B" w:rsidP="00D8030B">
            <w:pPr>
              <w:rPr>
                <w:rFonts w:cstheme="minorHAnsi"/>
                <w:sz w:val="24"/>
                <w:szCs w:val="24"/>
              </w:rPr>
            </w:pPr>
          </w:p>
          <w:p w14:paraId="08830543" w14:textId="0905E9CC" w:rsidR="00D8030B" w:rsidRDefault="00D8030B" w:rsidP="00D8030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3ECAAA" w14:textId="77777777" w:rsidR="00D8030B" w:rsidRPr="00D8030B" w:rsidRDefault="00D8030B" w:rsidP="00D8030B">
      <w:pPr>
        <w:spacing w:after="0"/>
        <w:rPr>
          <w:rFonts w:cstheme="minorHAnsi"/>
          <w:sz w:val="24"/>
          <w:szCs w:val="24"/>
        </w:rPr>
      </w:pPr>
    </w:p>
    <w:p w14:paraId="1C4437F3" w14:textId="5E8D695E" w:rsidR="00D8030B" w:rsidRDefault="00D8030B" w:rsidP="00D8030B">
      <w:pPr>
        <w:spacing w:after="0"/>
        <w:jc w:val="both"/>
        <w:rPr>
          <w:rFonts w:cstheme="minorHAnsi"/>
          <w:sz w:val="24"/>
          <w:szCs w:val="24"/>
        </w:rPr>
      </w:pPr>
      <w:r w:rsidRPr="00D8030B">
        <w:rPr>
          <w:sz w:val="24"/>
          <w:szCs w:val="24"/>
        </w:rPr>
        <w:t>2.</w:t>
      </w:r>
      <w:r w:rsidRPr="00D8030B">
        <w:rPr>
          <w:rFonts w:cstheme="minorHAnsi"/>
          <w:sz w:val="24"/>
          <w:szCs w:val="24"/>
        </w:rPr>
        <w:t xml:space="preserve"> ¿Qué principios y fundamentos tiene el Estado de Derecho en la actualidad?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030B" w14:paraId="735E1DC7" w14:textId="77777777" w:rsidTr="00D8030B">
        <w:tc>
          <w:tcPr>
            <w:tcW w:w="8828" w:type="dxa"/>
          </w:tcPr>
          <w:p w14:paraId="10FC70FC" w14:textId="77777777" w:rsidR="00D8030B" w:rsidRDefault="00D8030B" w:rsidP="00D8030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Respuesta:</w:t>
            </w:r>
          </w:p>
          <w:p w14:paraId="401335CA" w14:textId="77777777" w:rsidR="00D8030B" w:rsidRDefault="00D8030B" w:rsidP="00D8030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95B5332" w14:textId="77777777" w:rsidR="00D8030B" w:rsidRDefault="00D8030B" w:rsidP="00D8030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A8FE31D" w14:textId="77777777" w:rsidR="00D8030B" w:rsidRDefault="00D8030B" w:rsidP="00D8030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B435400" w14:textId="77777777" w:rsidR="00D8030B" w:rsidRDefault="00D8030B" w:rsidP="00D8030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B09D5DB" w14:textId="40FA72AB" w:rsidR="00D8030B" w:rsidRDefault="00D8030B" w:rsidP="00D8030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2102EE9" w14:textId="77777777" w:rsidR="00D8030B" w:rsidRPr="00D8030B" w:rsidRDefault="00D8030B" w:rsidP="00D8030B">
      <w:pPr>
        <w:spacing w:after="0"/>
        <w:jc w:val="both"/>
        <w:rPr>
          <w:rFonts w:cstheme="minorHAnsi"/>
          <w:sz w:val="24"/>
          <w:szCs w:val="24"/>
        </w:rPr>
      </w:pPr>
    </w:p>
    <w:p w14:paraId="2695F6A8" w14:textId="344EEC67" w:rsidR="00D8030B" w:rsidRPr="00D8030B" w:rsidRDefault="00D8030B" w:rsidP="00D8030B">
      <w:pPr>
        <w:jc w:val="both"/>
        <w:rPr>
          <w:rFonts w:cstheme="minorHAnsi"/>
          <w:b/>
          <w:bCs/>
          <w:sz w:val="24"/>
          <w:szCs w:val="24"/>
        </w:rPr>
      </w:pPr>
      <w:r w:rsidRPr="00D8030B">
        <w:rPr>
          <w:rFonts w:cstheme="minorHAnsi"/>
          <w:b/>
          <w:bCs/>
          <w:sz w:val="24"/>
          <w:szCs w:val="24"/>
        </w:rPr>
        <w:t xml:space="preserve">II.  Elige una situación </w:t>
      </w:r>
      <w:r>
        <w:rPr>
          <w:rFonts w:cstheme="minorHAnsi"/>
          <w:b/>
          <w:bCs/>
          <w:sz w:val="24"/>
          <w:szCs w:val="24"/>
        </w:rPr>
        <w:t>y responde la pregunta que le sigue</w:t>
      </w:r>
      <w:r w:rsidR="009D1598">
        <w:rPr>
          <w:rFonts w:cstheme="minorHAnsi"/>
          <w:b/>
          <w:bCs/>
          <w:sz w:val="24"/>
          <w:szCs w:val="24"/>
        </w:rPr>
        <w:t>. Total: 2 puntos.</w:t>
      </w:r>
    </w:p>
    <w:p w14:paraId="62245A4E" w14:textId="03415EA9" w:rsidR="00D8030B" w:rsidRPr="00401991" w:rsidRDefault="00D8030B" w:rsidP="00D8030B">
      <w:pPr>
        <w:jc w:val="center"/>
        <w:rPr>
          <w:rFonts w:cstheme="minorHAnsi"/>
          <w:szCs w:val="19"/>
        </w:rPr>
      </w:pPr>
      <w:r>
        <w:rPr>
          <w:b/>
          <w:bCs/>
          <w:u w:val="single"/>
        </w:rPr>
        <w:t>EL ESTADO DE DERECHO</w:t>
      </w: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426"/>
        <w:gridCol w:w="4234"/>
        <w:gridCol w:w="355"/>
        <w:gridCol w:w="4625"/>
      </w:tblGrid>
      <w:tr w:rsidR="00D8030B" w14:paraId="26CF0D45" w14:textId="77777777" w:rsidTr="00074318">
        <w:trPr>
          <w:trHeight w:val="416"/>
        </w:trPr>
        <w:tc>
          <w:tcPr>
            <w:tcW w:w="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14:paraId="27A942EC" w14:textId="77777777" w:rsidR="00D8030B" w:rsidRPr="00EA1F2A" w:rsidRDefault="00D8030B" w:rsidP="00074318">
            <w:pPr>
              <w:jc w:val="center"/>
              <w:rPr>
                <w:b/>
                <w:bCs/>
                <w:noProof/>
              </w:rPr>
            </w:pPr>
            <w:r w:rsidRPr="00EA1F2A">
              <w:rPr>
                <w:b/>
                <w:bCs/>
                <w:noProof/>
              </w:rPr>
              <w:t>A</w:t>
            </w:r>
          </w:p>
        </w:tc>
        <w:tc>
          <w:tcPr>
            <w:tcW w:w="423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14:paraId="23791062" w14:textId="77777777" w:rsidR="00D8030B" w:rsidRPr="000600A3" w:rsidRDefault="00D8030B" w:rsidP="00074318">
            <w:pPr>
              <w:jc w:val="center"/>
              <w:rPr>
                <w:rFonts w:cstheme="minorHAnsi"/>
              </w:rPr>
            </w:pPr>
            <w:r w:rsidRPr="000600A3">
              <w:rPr>
                <w:rFonts w:cstheme="minorHAnsi"/>
                <w:b/>
                <w:bCs/>
              </w:rPr>
              <w:t>Recurso de amparo</w:t>
            </w:r>
            <w:r w:rsidRPr="000600A3">
              <w:rPr>
                <w:rFonts w:cstheme="minorHAnsi"/>
              </w:rPr>
              <w:br/>
            </w:r>
            <w:r w:rsidRPr="000600A3">
              <w:rPr>
                <w:rFonts w:cstheme="minorHAnsi"/>
                <w:color w:val="333333"/>
                <w:shd w:val="clear" w:color="auto" w:fill="FFFFFF"/>
              </w:rPr>
              <w:t xml:space="preserve">Donde una persona detenida </w:t>
            </w:r>
            <w:r>
              <w:rPr>
                <w:rFonts w:cstheme="minorHAnsi"/>
                <w:color w:val="333333"/>
                <w:shd w:val="clear" w:color="auto" w:fill="FFFFFF"/>
              </w:rPr>
              <w:t>es</w:t>
            </w:r>
            <w:r w:rsidRPr="000600A3">
              <w:rPr>
                <w:rFonts w:cstheme="minorHAnsi"/>
                <w:color w:val="333333"/>
                <w:shd w:val="clear" w:color="auto" w:fill="FFFFFF"/>
              </w:rPr>
              <w:t xml:space="preserve"> llevado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0600A3">
              <w:rPr>
                <w:rFonts w:cstheme="minorHAnsi"/>
                <w:color w:val="333333"/>
                <w:shd w:val="clear" w:color="auto" w:fill="FFFFFF"/>
              </w:rPr>
              <w:t>frente a un juez para que revise la legalidad de la privación de libertad. Si es el caso, se decretará su libertad inmediata o se pondrá al individuo a disposición del juez competente. En general, se busca reestablecer el derecho vulnerado y asegurar la debida protección del afectado.</w:t>
            </w:r>
          </w:p>
        </w:tc>
        <w:tc>
          <w:tcPr>
            <w:tcW w:w="35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14:paraId="76763F5D" w14:textId="77777777" w:rsidR="00D8030B" w:rsidRPr="00EA1F2A" w:rsidRDefault="00D8030B" w:rsidP="0007431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</w:t>
            </w:r>
          </w:p>
        </w:tc>
        <w:tc>
          <w:tcPr>
            <w:tcW w:w="462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14:paraId="3169C2BB" w14:textId="77777777" w:rsidR="00D8030B" w:rsidRDefault="00D8030B" w:rsidP="00074318">
            <w:pPr>
              <w:jc w:val="center"/>
              <w:rPr>
                <w:b/>
                <w:bCs/>
                <w:noProof/>
              </w:rPr>
            </w:pPr>
            <w:r w:rsidRPr="000600A3">
              <w:rPr>
                <w:b/>
                <w:bCs/>
                <w:noProof/>
              </w:rPr>
              <w:t>Derechos y deberes Constitucionales</w:t>
            </w:r>
          </w:p>
          <w:p w14:paraId="416041CC" w14:textId="77777777" w:rsidR="00D8030B" w:rsidRPr="000600A3" w:rsidRDefault="00D8030B" w:rsidP="00074318">
            <w:pPr>
              <w:jc w:val="center"/>
              <w:rPr>
                <w:b/>
                <w:bCs/>
                <w:noProof/>
              </w:rPr>
            </w:pPr>
          </w:p>
          <w:p w14:paraId="24C8FBFD" w14:textId="77777777" w:rsidR="00D8030B" w:rsidRDefault="00D8030B" w:rsidP="00D803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19"/>
                <w:lang w:val="es-CL"/>
              </w:rPr>
            </w:pPr>
            <w:r>
              <w:rPr>
                <w:rFonts w:cstheme="minorHAnsi"/>
                <w:szCs w:val="19"/>
                <w:lang w:val="es-CL"/>
              </w:rPr>
              <w:t>Derecho a la vida.</w:t>
            </w:r>
          </w:p>
          <w:p w14:paraId="4D77DA52" w14:textId="77777777" w:rsidR="00D8030B" w:rsidRDefault="00D8030B" w:rsidP="00D803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19"/>
                <w:lang w:val="es-CL"/>
              </w:rPr>
            </w:pPr>
            <w:r>
              <w:rPr>
                <w:rFonts w:cstheme="minorHAnsi"/>
                <w:szCs w:val="19"/>
                <w:lang w:val="es-CL"/>
              </w:rPr>
              <w:t>Igualdad ante a la Ley.</w:t>
            </w:r>
          </w:p>
          <w:p w14:paraId="09FF6B96" w14:textId="77777777" w:rsidR="00D8030B" w:rsidRPr="000600A3" w:rsidRDefault="00D8030B" w:rsidP="00D803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19"/>
                <w:lang w:val="es-CL"/>
              </w:rPr>
            </w:pPr>
            <w:r>
              <w:rPr>
                <w:rFonts w:cstheme="minorHAnsi"/>
                <w:szCs w:val="19"/>
                <w:lang w:val="es-CL"/>
              </w:rPr>
              <w:t>Derecho a la libertad personal y seguridad.</w:t>
            </w:r>
          </w:p>
        </w:tc>
      </w:tr>
      <w:tr w:rsidR="00D8030B" w14:paraId="54CC50CF" w14:textId="77777777" w:rsidTr="00074318">
        <w:trPr>
          <w:trHeight w:val="386"/>
        </w:trPr>
        <w:tc>
          <w:tcPr>
            <w:tcW w:w="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14:paraId="703CD73F" w14:textId="77777777" w:rsidR="00D8030B" w:rsidRPr="00EA1F2A" w:rsidRDefault="00D8030B" w:rsidP="00074318">
            <w:pPr>
              <w:jc w:val="center"/>
              <w:rPr>
                <w:b/>
                <w:bCs/>
                <w:noProof/>
              </w:rPr>
            </w:pPr>
            <w:r w:rsidRPr="00EA1F2A">
              <w:rPr>
                <w:b/>
                <w:bCs/>
                <w:noProof/>
              </w:rPr>
              <w:t>C</w:t>
            </w:r>
          </w:p>
        </w:tc>
        <w:tc>
          <w:tcPr>
            <w:tcW w:w="423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14:paraId="691A7B27" w14:textId="77777777" w:rsidR="00D8030B" w:rsidRPr="000600A3" w:rsidRDefault="00D8030B" w:rsidP="00074318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0600A3">
              <w:rPr>
                <w:rFonts w:cstheme="minorHAnsi"/>
                <w:b/>
                <w:bCs/>
                <w:szCs w:val="19"/>
              </w:rPr>
              <w:t>Senado aprobó postnatal de 4 días para padres</w:t>
            </w:r>
          </w:p>
          <w:p w14:paraId="37F37D55" w14:textId="77777777" w:rsidR="00D8030B" w:rsidRDefault="00D8030B" w:rsidP="00074318">
            <w:pPr>
              <w:jc w:val="center"/>
              <w:rPr>
                <w:rFonts w:cstheme="minorHAnsi"/>
                <w:szCs w:val="19"/>
              </w:rPr>
            </w:pPr>
            <w:r w:rsidRPr="000600A3">
              <w:rPr>
                <w:rFonts w:cstheme="minorHAnsi"/>
                <w:szCs w:val="19"/>
              </w:rPr>
              <w:t>Así lo determinó este miércoles 20 el Senado, al aprobar por 29 votos a favor, 1 en contra y 1 abstención, el proyecto que incorpora a la legislación laboral el post natal para padres. 18 noviembre 2010</w:t>
            </w:r>
          </w:p>
        </w:tc>
        <w:tc>
          <w:tcPr>
            <w:tcW w:w="35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14:paraId="131BEA84" w14:textId="77777777" w:rsidR="00D8030B" w:rsidRPr="00EA1F2A" w:rsidRDefault="00D8030B" w:rsidP="0007431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</w:t>
            </w:r>
          </w:p>
        </w:tc>
        <w:tc>
          <w:tcPr>
            <w:tcW w:w="462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14:paraId="31008C1E" w14:textId="77777777" w:rsidR="00D8030B" w:rsidRPr="000600A3" w:rsidRDefault="00D8030B" w:rsidP="00074318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0600A3">
              <w:rPr>
                <w:rFonts w:cstheme="minorHAnsi"/>
                <w:b/>
                <w:bCs/>
                <w:szCs w:val="19"/>
              </w:rPr>
              <w:t>¿El contrato debe registrarse ante la Inspección del Trabajo?</w:t>
            </w:r>
          </w:p>
          <w:p w14:paraId="7D0C1D48" w14:textId="77777777" w:rsidR="00D8030B" w:rsidRDefault="00D8030B" w:rsidP="00074318">
            <w:pPr>
              <w:jc w:val="center"/>
              <w:rPr>
                <w:rFonts w:cstheme="minorHAnsi"/>
                <w:szCs w:val="19"/>
              </w:rPr>
            </w:pPr>
            <w:r w:rsidRPr="000600A3">
              <w:rPr>
                <w:rFonts w:cstheme="minorHAnsi"/>
                <w:szCs w:val="19"/>
              </w:rPr>
              <w:t>Sí, el empleador debe registrar el contrato de trabajo y sus modificaciones, dentro de los quince días siguientes a su celebración en el sitio web www.direcciondeltrabajo.cl o en forma presencial en la Inspección del Trabajo correspondiente a su domicilio, con indicación de las mismas estipulaciones pactadas. Así se desprende de lo establecido por el nuevo artículo 146 ter del Código del Trabajo.</w:t>
            </w:r>
          </w:p>
        </w:tc>
      </w:tr>
    </w:tbl>
    <w:p w14:paraId="17825259" w14:textId="77777777" w:rsidR="00D8030B" w:rsidRDefault="00D8030B" w:rsidP="00D8030B">
      <w:pPr>
        <w:jc w:val="both"/>
      </w:pPr>
    </w:p>
    <w:p w14:paraId="7D9DD2AE" w14:textId="77777777" w:rsidR="00D8030B" w:rsidRDefault="00D8030B" w:rsidP="00D8030B">
      <w:pPr>
        <w:jc w:val="both"/>
      </w:pPr>
    </w:p>
    <w:p w14:paraId="2AA85FD0" w14:textId="77777777" w:rsidR="00D8030B" w:rsidRDefault="00D8030B" w:rsidP="00D8030B">
      <w:pPr>
        <w:jc w:val="both"/>
      </w:pPr>
    </w:p>
    <w:p w14:paraId="1A19064E" w14:textId="04269AB8" w:rsidR="00F42750" w:rsidRDefault="00D8030B" w:rsidP="00F42750">
      <w:pPr>
        <w:spacing w:after="0"/>
        <w:jc w:val="both"/>
        <w:rPr>
          <w:rFonts w:cstheme="minorHAnsi"/>
        </w:rPr>
      </w:pPr>
      <w:r w:rsidRPr="00D8030B">
        <w:rPr>
          <w:rFonts w:cstheme="minorHAnsi"/>
          <w:sz w:val="24"/>
          <w:szCs w:val="24"/>
        </w:rPr>
        <w:lastRenderedPageBreak/>
        <w:t>1-. Elige una situación y justifica. ¿Por qué podemos relacionar esta situación con la Idea de Estado de Derecho?</w:t>
      </w:r>
      <w:r w:rsidRPr="00D8030B">
        <w:rPr>
          <w:rFonts w:cstheme="minorHAnsi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2750" w14:paraId="4AFD0F38" w14:textId="77777777" w:rsidTr="00F42750">
        <w:tc>
          <w:tcPr>
            <w:tcW w:w="8828" w:type="dxa"/>
          </w:tcPr>
          <w:p w14:paraId="5177E3DE" w14:textId="77777777" w:rsidR="00F42750" w:rsidRDefault="00F42750" w:rsidP="00F4275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Respuesta:</w:t>
            </w:r>
          </w:p>
          <w:p w14:paraId="2D6B0749" w14:textId="77777777" w:rsidR="00F42750" w:rsidRDefault="00F42750" w:rsidP="00F4275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F958B9C" w14:textId="77777777" w:rsidR="00F42750" w:rsidRDefault="00F42750" w:rsidP="00F4275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052CECE" w14:textId="77777777" w:rsidR="00F42750" w:rsidRDefault="00F42750" w:rsidP="00F4275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B67DFAF" w14:textId="130CE250" w:rsidR="00F42750" w:rsidRPr="00F42750" w:rsidRDefault="00F42750" w:rsidP="00F4275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DE34379" w14:textId="2AC587CD" w:rsidR="00D8030B" w:rsidRDefault="00D8030B" w:rsidP="00F42750">
      <w:pPr>
        <w:spacing w:after="0"/>
        <w:jc w:val="both"/>
        <w:rPr>
          <w:sz w:val="24"/>
          <w:szCs w:val="24"/>
        </w:rPr>
      </w:pPr>
    </w:p>
    <w:p w14:paraId="2C01D2B0" w14:textId="53EE44AE" w:rsidR="00F42750" w:rsidRPr="00F42750" w:rsidRDefault="00F42750" w:rsidP="00F42750">
      <w:pPr>
        <w:spacing w:after="0"/>
        <w:jc w:val="both"/>
        <w:rPr>
          <w:b/>
          <w:bCs/>
          <w:sz w:val="24"/>
          <w:szCs w:val="24"/>
        </w:rPr>
      </w:pPr>
      <w:r w:rsidRPr="00F42750">
        <w:rPr>
          <w:b/>
          <w:bCs/>
          <w:sz w:val="24"/>
          <w:szCs w:val="24"/>
        </w:rPr>
        <w:t>III. Lee la fuente y responde</w:t>
      </w:r>
      <w:r w:rsidR="009D1598">
        <w:rPr>
          <w:b/>
          <w:bCs/>
          <w:sz w:val="24"/>
          <w:szCs w:val="24"/>
        </w:rPr>
        <w:t>. Total: 4 puntos.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F42750" w14:paraId="243B5146" w14:textId="77777777" w:rsidTr="00F42750">
        <w:tc>
          <w:tcPr>
            <w:tcW w:w="9782" w:type="dxa"/>
          </w:tcPr>
          <w:p w14:paraId="5D2FB8B9" w14:textId="77777777" w:rsidR="00F42750" w:rsidRPr="00F42750" w:rsidRDefault="00F42750" w:rsidP="00F42750">
            <w:pPr>
              <w:shd w:val="clear" w:color="auto" w:fill="FFFFFF"/>
              <w:spacing w:before="180" w:after="150"/>
              <w:jc w:val="center"/>
              <w:outlineLvl w:val="0"/>
              <w:rPr>
                <w:rFonts w:eastAsia="Times New Roman" w:cstheme="minorHAnsi"/>
                <w:b/>
                <w:bCs/>
                <w:color w:val="174E9A"/>
                <w:kern w:val="36"/>
                <w:sz w:val="24"/>
                <w:lang w:eastAsia="es-CL"/>
              </w:rPr>
            </w:pPr>
            <w:r w:rsidRPr="00F42750">
              <w:rPr>
                <w:rFonts w:eastAsia="Times New Roman" w:cstheme="minorHAnsi"/>
                <w:b/>
                <w:bCs/>
                <w:color w:val="174E9A"/>
                <w:kern w:val="36"/>
                <w:sz w:val="24"/>
                <w:lang w:eastAsia="es-CL"/>
              </w:rPr>
              <w:t>P Cárdenas: ¡Quiénes son los que vulneran el “Estado de Derecho”!</w:t>
            </w:r>
          </w:p>
          <w:p w14:paraId="0ACE6D86" w14:textId="77777777" w:rsidR="00F42750" w:rsidRPr="00F42750" w:rsidRDefault="00F42750" w:rsidP="00F42750">
            <w:pPr>
              <w:shd w:val="clear" w:color="auto" w:fill="FFFFFF"/>
              <w:spacing w:after="150"/>
              <w:jc w:val="right"/>
              <w:rPr>
                <w:rFonts w:eastAsia="Times New Roman" w:cstheme="minorHAnsi"/>
                <w:color w:val="333333"/>
                <w:lang w:eastAsia="es-CL"/>
              </w:rPr>
            </w:pPr>
            <w:r w:rsidRPr="00F42750">
              <w:rPr>
                <w:rFonts w:eastAsia="Times New Roman" w:cstheme="minorHAnsi"/>
                <w:color w:val="E78A00"/>
                <w:lang w:eastAsia="es-CL"/>
              </w:rPr>
              <w:t xml:space="preserve">Diario </w:t>
            </w:r>
            <w:proofErr w:type="spellStart"/>
            <w:r w:rsidRPr="00F42750">
              <w:rPr>
                <w:rFonts w:eastAsia="Times New Roman" w:cstheme="minorHAnsi"/>
                <w:color w:val="E78A00"/>
                <w:lang w:eastAsia="es-CL"/>
              </w:rPr>
              <w:t>Uchile</w:t>
            </w:r>
            <w:proofErr w:type="spellEnd"/>
            <w:r w:rsidRPr="00F42750">
              <w:rPr>
                <w:rFonts w:eastAsia="Times New Roman" w:cstheme="minorHAnsi"/>
                <w:color w:val="E78A00"/>
                <w:lang w:eastAsia="es-CL"/>
              </w:rPr>
              <w:t xml:space="preserve"> - </w:t>
            </w:r>
            <w:r w:rsidRPr="00F42750">
              <w:rPr>
                <w:rFonts w:eastAsia="Times New Roman" w:cstheme="minorHAnsi"/>
                <w:color w:val="333333"/>
                <w:lang w:eastAsia="es-CL"/>
              </w:rPr>
              <w:t> </w:t>
            </w:r>
            <w:proofErr w:type="gramStart"/>
            <w:r w:rsidRPr="00F42750">
              <w:rPr>
                <w:rFonts w:eastAsia="Times New Roman" w:cstheme="minorHAnsi"/>
                <w:color w:val="333333"/>
                <w:lang w:eastAsia="es-CL"/>
              </w:rPr>
              <w:t>Jueves</w:t>
            </w:r>
            <w:proofErr w:type="gramEnd"/>
            <w:r w:rsidRPr="00F42750">
              <w:rPr>
                <w:rFonts w:eastAsia="Times New Roman" w:cstheme="minorHAnsi"/>
                <w:color w:val="333333"/>
                <w:lang w:eastAsia="es-CL"/>
              </w:rPr>
              <w:t xml:space="preserve"> 12 de enero 2017 9:02 hrs.</w:t>
            </w:r>
          </w:p>
          <w:p w14:paraId="2C4C58C4" w14:textId="77777777" w:rsidR="00F42750" w:rsidRPr="00F42750" w:rsidRDefault="00F42750" w:rsidP="00F42750">
            <w:pPr>
              <w:jc w:val="both"/>
              <w:rPr>
                <w:b/>
                <w:bCs/>
              </w:rPr>
            </w:pPr>
            <w:r w:rsidRPr="00F42750">
              <w:rPr>
                <w:b/>
                <w:bCs/>
              </w:rPr>
              <w:t>Reproducimos a continuación el comentario radial de este jueves de Juan Pablo Cárdenas:</w:t>
            </w:r>
          </w:p>
          <w:p w14:paraId="07F61BB1" w14:textId="77777777" w:rsidR="00F42750" w:rsidRPr="00F42750" w:rsidRDefault="00F42750" w:rsidP="00F42750">
            <w:pPr>
              <w:ind w:firstLine="708"/>
              <w:jc w:val="both"/>
            </w:pPr>
            <w:r w:rsidRPr="00F42750">
              <w:t xml:space="preserve">“Esta vez no podemos estar más de acuerdo con la </w:t>
            </w:r>
            <w:proofErr w:type="spellStart"/>
            <w:r w:rsidRPr="00F42750">
              <w:t>Sofofa</w:t>
            </w:r>
            <w:proofErr w:type="spellEnd"/>
            <w:r w:rsidRPr="00F42750">
              <w:t xml:space="preserve"> cuando en un inserto difundido ayer nos advierte que el “estado de derecho” no existe en la Araucanía, aseveración que, por supuesto, irritara a las autoridades de Gobierno. Sin embargo, creo que la clase patronal expresada en la SOFOFA se queda muy corta en su sentencia: el estado de derecho no solo se ha quebrado en la Araucanía sino en todo el país, y esto no ha sido culpa de los mapuches, justamente, sino de un conjunto de actores, entre los cuales los grandes empresarios y los políticos son sus principales responsables y ejecutores.</w:t>
            </w:r>
          </w:p>
          <w:p w14:paraId="07910988" w14:textId="77777777" w:rsidR="00F42750" w:rsidRPr="00F42750" w:rsidRDefault="00F42750" w:rsidP="00F42750">
            <w:pPr>
              <w:ind w:firstLine="708"/>
              <w:jc w:val="both"/>
            </w:pPr>
            <w:r w:rsidRPr="00F42750">
              <w:t>Al respecto, […] el estado de derecho se quebró en 1973 cuando los militares acicateados por muchos políticos, por la CIA estadounidense y los más poderosos militares del país decidieron ese fatídico Golpe de Estado mediante en mayor acto terrorista que recuerde nuestra historia, como lo fue el bombardeo, incendio de la Moneda y el magnicidio cometido contra el presidente constitucional de nuestro país. 17 años de un régimen de facto, contrario al estado de derecho, y otros 27 años de postdictadura regido por la Constitución de Pinochet, el modelo económico desigual impuesto por éste, el sistema electoral binominal, las impunidades por todos conocidas y esos escándalos en contra de la probidad que se han hecho sistemáticos en la mala conducta de las autoridades y, de nuevo, de los grandes empresarios nacionales y extranjeros enseñoreados  sobre las instituciones,  La Moneda, el Parlamento y los tribunales de Justicia. Por encima, incluso, el mismo Tribunal Constitucional y la legislación internacional a la cual hemos adscrito.</w:t>
            </w:r>
          </w:p>
          <w:p w14:paraId="75B7B8D9" w14:textId="0EECF3DB" w:rsidR="00F42750" w:rsidRPr="00F42750" w:rsidRDefault="00F42750" w:rsidP="00F42750">
            <w:pPr>
              <w:ind w:firstLine="708"/>
              <w:jc w:val="both"/>
              <w:rPr>
                <w:sz w:val="20"/>
                <w:szCs w:val="21"/>
              </w:rPr>
            </w:pPr>
            <w:r w:rsidRPr="00F42750">
              <w:t xml:space="preserve">El “Estado de Derecho” se constituye, estimados auditores, en una pretensión absurda también cuando contemplamos que las farmacias, las papeleras y los productores de alimentos básicos se coluden para asaltar el bolsillo de los consumidores, y ninguno de sus responsables es castigado ejemplarmente por los tribunales ni menos, todavía, sus empresas y bienes son confiscados por el Estado. […] las empresas del llamado </w:t>
            </w:r>
            <w:proofErr w:type="spellStart"/>
            <w:r w:rsidRPr="00F42750">
              <w:t>retail</w:t>
            </w:r>
            <w:proofErr w:type="spellEnd"/>
            <w:r w:rsidRPr="00F42750">
              <w:t xml:space="preserve"> y hasta los bancos que a diario asaltan a millones de chilenos con sus usureros préstamos, a tasas de interés agraviantes y para cosechar utilidades especulativas y millonarias que jamás serían permitidas en otros países donde efectivamente rige un estado de derecho o algo parecido a este concepto. […]</w:t>
            </w:r>
          </w:p>
        </w:tc>
      </w:tr>
    </w:tbl>
    <w:p w14:paraId="3374139A" w14:textId="77777777" w:rsidR="00F42750" w:rsidRDefault="00F42750" w:rsidP="00F42750">
      <w:pPr>
        <w:spacing w:after="0"/>
        <w:ind w:right="-285"/>
        <w:jc w:val="both"/>
        <w:rPr>
          <w:sz w:val="24"/>
          <w:szCs w:val="24"/>
        </w:rPr>
      </w:pPr>
    </w:p>
    <w:p w14:paraId="14A80147" w14:textId="0720B8D7" w:rsidR="00F42750" w:rsidRDefault="00F42750" w:rsidP="00F42750">
      <w:pPr>
        <w:spacing w:after="0"/>
        <w:ind w:right="-285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1</w:t>
      </w:r>
      <w:r w:rsidRPr="00F42750">
        <w:rPr>
          <w:sz w:val="24"/>
          <w:szCs w:val="24"/>
        </w:rPr>
        <w:t>. ¿A quiénes atribuye la responsabilidad de respetar el Estado de Derecho?</w:t>
      </w:r>
      <w:r w:rsidRPr="00F42750">
        <w:rPr>
          <w:rFonts w:cstheme="minorHAnsi"/>
          <w:sz w:val="24"/>
          <w:szCs w:val="24"/>
        </w:rPr>
        <w:t xml:space="preserve"> </w:t>
      </w:r>
    </w:p>
    <w:p w14:paraId="192FB891" w14:textId="77777777" w:rsidR="00F42750" w:rsidRPr="00F42750" w:rsidRDefault="00F42750" w:rsidP="00F42750">
      <w:pPr>
        <w:spacing w:after="0"/>
        <w:ind w:left="-142" w:right="-285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26"/>
      </w:tblGrid>
      <w:tr w:rsidR="00F42750" w:rsidRPr="00F42750" w14:paraId="020F523A" w14:textId="77777777" w:rsidTr="00F42750">
        <w:tc>
          <w:tcPr>
            <w:tcW w:w="8926" w:type="dxa"/>
          </w:tcPr>
          <w:p w14:paraId="5BEB152A" w14:textId="77777777" w:rsidR="00F42750" w:rsidRPr="00F42750" w:rsidRDefault="00F42750" w:rsidP="00F42750">
            <w:pPr>
              <w:ind w:right="-285"/>
              <w:jc w:val="both"/>
              <w:rPr>
                <w:rFonts w:cstheme="minorHAnsi"/>
                <w:sz w:val="24"/>
                <w:szCs w:val="24"/>
              </w:rPr>
            </w:pPr>
            <w:r w:rsidRPr="00F42750">
              <w:rPr>
                <w:rFonts w:cstheme="minorHAnsi"/>
                <w:sz w:val="24"/>
                <w:szCs w:val="24"/>
              </w:rPr>
              <w:t>Respuesta:</w:t>
            </w:r>
          </w:p>
          <w:p w14:paraId="3257680D" w14:textId="77777777" w:rsidR="00F42750" w:rsidRPr="00F42750" w:rsidRDefault="00F42750" w:rsidP="00F42750">
            <w:pPr>
              <w:ind w:right="-285"/>
              <w:jc w:val="both"/>
              <w:rPr>
                <w:rFonts w:cstheme="minorHAnsi"/>
                <w:sz w:val="24"/>
                <w:szCs w:val="24"/>
              </w:rPr>
            </w:pPr>
          </w:p>
          <w:p w14:paraId="459B27DC" w14:textId="77777777" w:rsidR="00F42750" w:rsidRPr="00F42750" w:rsidRDefault="00F42750" w:rsidP="00F42750">
            <w:pPr>
              <w:ind w:right="-285"/>
              <w:jc w:val="both"/>
              <w:rPr>
                <w:rFonts w:cstheme="minorHAnsi"/>
                <w:sz w:val="24"/>
                <w:szCs w:val="24"/>
              </w:rPr>
            </w:pPr>
          </w:p>
          <w:p w14:paraId="04EEBECE" w14:textId="77777777" w:rsidR="00F42750" w:rsidRPr="00F42750" w:rsidRDefault="00F42750" w:rsidP="00F42750">
            <w:pPr>
              <w:ind w:right="-285"/>
              <w:jc w:val="both"/>
              <w:rPr>
                <w:rFonts w:cstheme="minorHAnsi"/>
                <w:sz w:val="24"/>
                <w:szCs w:val="24"/>
              </w:rPr>
            </w:pPr>
          </w:p>
          <w:p w14:paraId="3500FDA4" w14:textId="05E0321A" w:rsidR="00F42750" w:rsidRPr="00F42750" w:rsidRDefault="00F42750" w:rsidP="00F42750">
            <w:pPr>
              <w:ind w:right="-28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D6C03DD" w14:textId="77777777" w:rsidR="00F42750" w:rsidRDefault="00F42750" w:rsidP="00F42750">
      <w:pPr>
        <w:spacing w:after="0"/>
        <w:ind w:left="-142" w:right="-285"/>
        <w:jc w:val="both"/>
        <w:rPr>
          <w:b/>
          <w:bCs/>
        </w:rPr>
      </w:pPr>
    </w:p>
    <w:p w14:paraId="57124281" w14:textId="6A4036DD" w:rsidR="00F42750" w:rsidRDefault="00F42750" w:rsidP="00F42750">
      <w:pPr>
        <w:spacing w:after="0"/>
        <w:ind w:left="-142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42750">
        <w:rPr>
          <w:sz w:val="24"/>
          <w:szCs w:val="24"/>
        </w:rPr>
        <w:t>2. ¿Podrías plantear otra situación en la cual has percibido un incumplimiento en este ámbito?</w:t>
      </w:r>
    </w:p>
    <w:p w14:paraId="3C85A1D0" w14:textId="77777777" w:rsidR="00F42750" w:rsidRDefault="00F42750" w:rsidP="00F42750">
      <w:pPr>
        <w:spacing w:after="0"/>
        <w:ind w:left="-142" w:right="-285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828"/>
      </w:tblGrid>
      <w:tr w:rsidR="00F42750" w14:paraId="27F74402" w14:textId="77777777" w:rsidTr="00F42750">
        <w:tc>
          <w:tcPr>
            <w:tcW w:w="8828" w:type="dxa"/>
          </w:tcPr>
          <w:p w14:paraId="68BD7C58" w14:textId="77777777" w:rsidR="00F42750" w:rsidRDefault="00F42750" w:rsidP="00F42750">
            <w:pPr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76E4B0E2" w14:textId="77777777" w:rsidR="00F42750" w:rsidRDefault="00F42750" w:rsidP="00F42750">
            <w:pPr>
              <w:ind w:right="-285"/>
              <w:jc w:val="both"/>
              <w:rPr>
                <w:sz w:val="24"/>
                <w:szCs w:val="24"/>
              </w:rPr>
            </w:pPr>
          </w:p>
          <w:p w14:paraId="1C76B0A2" w14:textId="77777777" w:rsidR="00F42750" w:rsidRDefault="00F42750" w:rsidP="00F42750">
            <w:pPr>
              <w:ind w:right="-285"/>
              <w:jc w:val="both"/>
              <w:rPr>
                <w:sz w:val="24"/>
                <w:szCs w:val="24"/>
              </w:rPr>
            </w:pPr>
          </w:p>
          <w:p w14:paraId="3EE0FD62" w14:textId="77777777" w:rsidR="00F42750" w:rsidRDefault="00F42750" w:rsidP="00F42750">
            <w:pPr>
              <w:ind w:right="-285"/>
              <w:jc w:val="both"/>
              <w:rPr>
                <w:sz w:val="24"/>
                <w:szCs w:val="24"/>
              </w:rPr>
            </w:pPr>
          </w:p>
          <w:p w14:paraId="49E31707" w14:textId="1062F1C0" w:rsidR="00F42750" w:rsidRDefault="00F42750" w:rsidP="00F42750">
            <w:pPr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02A04F0E" w14:textId="77777777" w:rsidR="00D8030B" w:rsidRDefault="00D8030B" w:rsidP="00D8030B">
      <w:pPr>
        <w:jc w:val="both"/>
      </w:pPr>
    </w:p>
    <w:p w14:paraId="55906650" w14:textId="5B05743F" w:rsidR="00D8030B" w:rsidRDefault="00D8030B" w:rsidP="00D8030B">
      <w:pPr>
        <w:spacing w:after="0"/>
      </w:pPr>
    </w:p>
    <w:sectPr w:rsidR="00D8030B" w:rsidSect="00D8030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3BA7" w14:textId="77777777" w:rsidR="00B969ED" w:rsidRDefault="00B969ED" w:rsidP="00D8030B">
      <w:pPr>
        <w:spacing w:after="0" w:line="240" w:lineRule="auto"/>
      </w:pPr>
      <w:r>
        <w:separator/>
      </w:r>
    </w:p>
  </w:endnote>
  <w:endnote w:type="continuationSeparator" w:id="0">
    <w:p w14:paraId="64A6283F" w14:textId="77777777" w:rsidR="00B969ED" w:rsidRDefault="00B969ED" w:rsidP="00D8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AE9B" w14:textId="77777777" w:rsidR="00B969ED" w:rsidRDefault="00B969ED" w:rsidP="00D8030B">
      <w:pPr>
        <w:spacing w:after="0" w:line="240" w:lineRule="auto"/>
      </w:pPr>
      <w:r>
        <w:separator/>
      </w:r>
    </w:p>
  </w:footnote>
  <w:footnote w:type="continuationSeparator" w:id="0">
    <w:p w14:paraId="54844E8B" w14:textId="77777777" w:rsidR="00B969ED" w:rsidRDefault="00B969ED" w:rsidP="00D8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6D8F3" w14:textId="77777777" w:rsidR="00D8030B" w:rsidRPr="00F868AC" w:rsidRDefault="00D8030B" w:rsidP="00D8030B">
    <w:pPr>
      <w:spacing w:after="0" w:line="240" w:lineRule="auto"/>
      <w:ind w:firstLine="708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Times New Roman" w:eastAsia="Times New Roman" w:hAnsi="Times New Roman" w:cs="Times New Roman"/>
        <w:noProof/>
        <w:sz w:val="18"/>
        <w:szCs w:val="18"/>
        <w:lang w:eastAsia="es-CL"/>
      </w:rPr>
      <w:drawing>
        <wp:anchor distT="0" distB="0" distL="114300" distR="114300" simplePos="0" relativeHeight="251659264" behindDoc="1" locked="0" layoutInCell="1" allowOverlap="1" wp14:anchorId="4D14865C" wp14:editId="277362DF">
          <wp:simplePos x="0" y="0"/>
          <wp:positionH relativeFrom="column">
            <wp:posOffset>520</wp:posOffset>
          </wp:positionH>
          <wp:positionV relativeFrom="paragraph">
            <wp:posOffset>12923</wp:posOffset>
          </wp:positionV>
          <wp:extent cx="447040" cy="533674"/>
          <wp:effectExtent l="0" t="0" r="0" b="0"/>
          <wp:wrapNone/>
          <wp:docPr id="1" name="Imagen 1" descr="mhtml:file://C:\Documents%20and%20Settings\Administrador\Escritorio\Logo%20Colegio%20y%20otros\logo%20de%20colegio_JPG%20-%20Gmail.mht!https://mail.google.com/mail/?attid=0.3&amp;disp=emb&amp;view=att&amp;th=12b3a7705f0f61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108" cy="542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868AC">
      <w:rPr>
        <w:rFonts w:ascii="Calibri" w:eastAsia="Calibri" w:hAnsi="Calibri" w:cs="Arial"/>
        <w:b/>
        <w:szCs w:val="24"/>
        <w:lang w:val="es-ES" w:eastAsia="es-ES"/>
      </w:rPr>
      <w:t xml:space="preserve">   Escuela Particular N°2390 </w:t>
    </w:r>
  </w:p>
  <w:p w14:paraId="142DBB72" w14:textId="77777777" w:rsidR="00D8030B" w:rsidRPr="00F868AC" w:rsidRDefault="00D8030B" w:rsidP="00D8030B">
    <w:pPr>
      <w:spacing w:after="0" w:line="240" w:lineRule="auto"/>
      <w:ind w:firstLine="708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Calibri" w:eastAsia="Calibri" w:hAnsi="Calibri" w:cs="Arial"/>
        <w:b/>
        <w:szCs w:val="24"/>
        <w:lang w:val="es-ES" w:eastAsia="es-ES"/>
      </w:rPr>
      <w:t xml:space="preserve">   Santa María de Guadalupe</w:t>
    </w:r>
  </w:p>
  <w:p w14:paraId="397CBDBC" w14:textId="77777777" w:rsidR="00D8030B" w:rsidRPr="00F868AC" w:rsidRDefault="00D8030B" w:rsidP="00D8030B">
    <w:pPr>
      <w:spacing w:after="0" w:line="240" w:lineRule="auto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Calibri" w:eastAsia="Calibri" w:hAnsi="Calibri" w:cs="Arial"/>
        <w:b/>
        <w:szCs w:val="24"/>
        <w:lang w:val="es-ES" w:eastAsia="es-ES"/>
      </w:rPr>
      <w:tab/>
      <w:t xml:space="preserve">   Avda. </w:t>
    </w:r>
    <w:smartTag w:uri="urn:schemas-microsoft-com:office:smarttags" w:element="PersonName">
      <w:smartTagPr>
        <w:attr w:name="ProductID" w:val="La Concepción N"/>
      </w:smartTagPr>
      <w:r w:rsidRPr="00F868AC">
        <w:rPr>
          <w:rFonts w:ascii="Calibri" w:eastAsia="Calibri" w:hAnsi="Calibri" w:cs="Arial"/>
          <w:b/>
          <w:szCs w:val="24"/>
          <w:lang w:val="es-ES" w:eastAsia="es-ES"/>
        </w:rPr>
        <w:t>La Concepción N</w:t>
      </w:r>
    </w:smartTag>
    <w:r w:rsidRPr="00F868AC">
      <w:rPr>
        <w:rFonts w:ascii="Calibri" w:eastAsia="Calibri" w:hAnsi="Calibri" w:cs="Arial"/>
        <w:b/>
        <w:szCs w:val="24"/>
        <w:lang w:val="es-ES" w:eastAsia="es-ES"/>
      </w:rPr>
      <w:t>° 0519. Colina</w:t>
    </w:r>
  </w:p>
  <w:p w14:paraId="0187AD6B" w14:textId="77777777" w:rsidR="00D8030B" w:rsidRPr="009F3E2D" w:rsidRDefault="00D8030B" w:rsidP="00D8030B">
    <w:pPr>
      <w:spacing w:after="0" w:line="240" w:lineRule="auto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Calibri" w:eastAsia="Calibri" w:hAnsi="Calibri" w:cs="Arial"/>
        <w:b/>
        <w:szCs w:val="24"/>
        <w:lang w:val="es-ES" w:eastAsia="es-ES"/>
      </w:rPr>
      <w:tab/>
      <w:t xml:space="preserve">   Teléfono: 23604760</w:t>
    </w:r>
  </w:p>
  <w:p w14:paraId="71CF9CD4" w14:textId="77777777" w:rsidR="00D8030B" w:rsidRDefault="00D803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5ACF"/>
    <w:multiLevelType w:val="hybridMultilevel"/>
    <w:tmpl w:val="E9FE4C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0B"/>
    <w:rsid w:val="00185D5D"/>
    <w:rsid w:val="003C25B0"/>
    <w:rsid w:val="00434CF5"/>
    <w:rsid w:val="006913D3"/>
    <w:rsid w:val="00732C6A"/>
    <w:rsid w:val="00972C62"/>
    <w:rsid w:val="009D1598"/>
    <w:rsid w:val="00B969ED"/>
    <w:rsid w:val="00D8030B"/>
    <w:rsid w:val="00F334EC"/>
    <w:rsid w:val="00F42750"/>
    <w:rsid w:val="00FA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3E649B"/>
  <w15:chartTrackingRefBased/>
  <w15:docId w15:val="{D63CFC88-C67F-4913-9804-7ABEDC2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0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30B"/>
  </w:style>
  <w:style w:type="paragraph" w:styleId="Piedepgina">
    <w:name w:val="footer"/>
    <w:basedOn w:val="Normal"/>
    <w:link w:val="PiedepginaCar"/>
    <w:uiPriority w:val="99"/>
    <w:unhideWhenUsed/>
    <w:rsid w:val="00D80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30B"/>
  </w:style>
  <w:style w:type="paragraph" w:styleId="Prrafodelista">
    <w:name w:val="List Paragraph"/>
    <w:basedOn w:val="Normal"/>
    <w:uiPriority w:val="34"/>
    <w:qFormat/>
    <w:rsid w:val="00D8030B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Ubilla</dc:creator>
  <cp:keywords/>
  <dc:description/>
  <cp:lastModifiedBy>Carolina Vicencio</cp:lastModifiedBy>
  <cp:revision>2</cp:revision>
  <dcterms:created xsi:type="dcterms:W3CDTF">2021-06-07T17:37:00Z</dcterms:created>
  <dcterms:modified xsi:type="dcterms:W3CDTF">2021-06-07T17:37:00Z</dcterms:modified>
</cp:coreProperties>
</file>